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BC55C">
      <w:pPr>
        <w:pStyle w:val="4"/>
        <w:keepNext w:val="0"/>
        <w:widowControl w:val="0"/>
        <w:spacing w:before="0" w:after="0" w:line="360" w:lineRule="auto"/>
        <w:jc w:val="center"/>
        <w:rPr>
          <w:b/>
          <w:sz w:val="36"/>
        </w:rPr>
      </w:pPr>
      <w:r>
        <w:rPr>
          <w:rFonts w:hint="eastAsia"/>
          <w:b/>
          <w:sz w:val="36"/>
        </w:rPr>
        <w:t>招标公告</w:t>
      </w:r>
    </w:p>
    <w:p w14:paraId="5CDC3021">
      <w:pPr>
        <w:widowControl w:val="0"/>
        <w:jc w:val="left"/>
      </w:pPr>
    </w:p>
    <w:p w14:paraId="4AA9F16C">
      <w:pPr>
        <w:widowControl w:val="0"/>
        <w:spacing w:line="360" w:lineRule="auto"/>
        <w:ind w:firstLine="480" w:firstLineChars="200"/>
        <w:rPr>
          <w:rFonts w:hint="eastAsia" w:ascii="宋体" w:hAnsi="宋体" w:eastAsia="宋体" w:cs="宋体"/>
          <w:sz w:val="24"/>
          <w:szCs w:val="24"/>
        </w:rPr>
      </w:pPr>
      <w:bookmarkStart w:id="3" w:name="_GoBack"/>
      <w:r>
        <w:rPr>
          <w:rFonts w:hint="eastAsia" w:ascii="宋体" w:hAnsi="宋体" w:eastAsia="宋体" w:cs="宋体"/>
          <w:sz w:val="24"/>
          <w:szCs w:val="24"/>
        </w:rPr>
        <w:t>济宁城投控股集团有限公司2024年度非公开发行公司债券承销商采购项目经有关部门批准，按照有关规定，现采用公开招标方式选择中标单位。有关事宜公告如下：</w:t>
      </w:r>
    </w:p>
    <w:p w14:paraId="1D127D4C">
      <w:pPr>
        <w:pStyle w:val="14"/>
        <w:widowControl w:val="0"/>
        <w:numPr>
          <w:ilvl w:val="0"/>
          <w:numId w:val="1"/>
        </w:numPr>
        <w:spacing w:line="360" w:lineRule="auto"/>
        <w:ind w:left="-140" w:firstLine="560"/>
        <w:jc w:val="left"/>
        <w:rPr>
          <w:rFonts w:hint="eastAsia" w:ascii="宋体" w:hAnsi="宋体" w:eastAsia="宋体" w:cs="宋体"/>
          <w:b/>
          <w:sz w:val="24"/>
          <w:szCs w:val="24"/>
        </w:rPr>
      </w:pPr>
      <w:r>
        <w:rPr>
          <w:rFonts w:hint="eastAsia" w:ascii="宋体" w:hAnsi="宋体" w:eastAsia="宋体" w:cs="宋体"/>
          <w:b/>
          <w:sz w:val="24"/>
          <w:szCs w:val="24"/>
        </w:rPr>
        <w:t>项目基本信息</w:t>
      </w:r>
    </w:p>
    <w:p w14:paraId="56110B6B">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1、项目编号：SDDF-2024-009</w:t>
      </w:r>
    </w:p>
    <w:p w14:paraId="03DB79E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2、项目名称：济宁城投控股集团有限公司2024年度非公开发行公司债券承销商采购项目</w:t>
      </w:r>
    </w:p>
    <w:p w14:paraId="37F32B1A">
      <w:pPr>
        <w:widowControl w:val="0"/>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3、标段划分：1个标段。</w:t>
      </w:r>
    </w:p>
    <w:p w14:paraId="3BEAE2C8">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4、项目概况：本项目为济宁城投控股集团有限公司2024年度非公开发行公司债券承销商采购项目，具体项目情况详见第三章项目说明。</w:t>
      </w:r>
    </w:p>
    <w:p w14:paraId="66D2A204">
      <w:pPr>
        <w:widowControl w:val="0"/>
        <w:spacing w:line="360" w:lineRule="auto"/>
        <w:ind w:firstLine="480" w:firstLineChars="200"/>
        <w:rPr>
          <w:rStyle w:val="13"/>
          <w:rFonts w:hint="eastAsia" w:ascii="宋体" w:hAnsi="宋体" w:eastAsia="宋体" w:cs="宋体"/>
          <w:sz w:val="24"/>
          <w:szCs w:val="24"/>
        </w:rPr>
      </w:pPr>
      <w:r>
        <w:rPr>
          <w:rStyle w:val="13"/>
          <w:rFonts w:hint="eastAsia" w:ascii="宋体" w:hAnsi="宋体" w:eastAsia="宋体" w:cs="宋体"/>
          <w:sz w:val="24"/>
          <w:szCs w:val="24"/>
        </w:rPr>
        <w:t>5、招标人：济宁城投控股集团有限公司</w:t>
      </w:r>
    </w:p>
    <w:p w14:paraId="1211F694">
      <w:pPr>
        <w:widowControl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6、招标代理机构：山东东方监理咨询有限公司</w:t>
      </w:r>
    </w:p>
    <w:p w14:paraId="47DD2476">
      <w:pPr>
        <w:widowControl w:val="0"/>
        <w:spacing w:line="360" w:lineRule="auto"/>
        <w:rPr>
          <w:rStyle w:val="13"/>
          <w:rFonts w:hint="eastAsia" w:ascii="宋体" w:hAnsi="宋体" w:eastAsia="宋体" w:cs="宋体"/>
          <w:sz w:val="24"/>
          <w:szCs w:val="24"/>
        </w:rPr>
      </w:pPr>
      <w:r>
        <w:rPr>
          <w:rFonts w:hint="eastAsia" w:ascii="宋体" w:hAnsi="宋体" w:eastAsia="宋体" w:cs="宋体"/>
          <w:b/>
          <w:kern w:val="3"/>
          <w:sz w:val="24"/>
          <w:szCs w:val="24"/>
        </w:rPr>
        <w:t xml:space="preserve">    二、投标人资格要求 </w:t>
      </w:r>
    </w:p>
    <w:p w14:paraId="4214CBA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1、须在中国境内注册，具有独立承担民事责任能力的法人或其他组织，具备有效的营业执照；</w:t>
      </w:r>
    </w:p>
    <w:p w14:paraId="60B00A0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2、须具有中国证券监督管理委员会依法颁发的经营证券业务许可证；</w:t>
      </w:r>
    </w:p>
    <w:p w14:paraId="35B73ACD">
      <w:pPr>
        <w:pStyle w:val="2"/>
        <w:spacing w:line="360" w:lineRule="auto"/>
        <w:ind w:left="0" w:leftChars="0" w:firstLine="480"/>
        <w:rPr>
          <w:rFonts w:hint="eastAsia" w:ascii="宋体" w:hAnsi="宋体" w:eastAsia="宋体" w:cs="宋体"/>
          <w:sz w:val="24"/>
          <w:szCs w:val="24"/>
        </w:rPr>
      </w:pPr>
      <w:r>
        <w:rPr>
          <w:rFonts w:hint="eastAsia" w:ascii="宋体" w:hAnsi="宋体" w:eastAsia="宋体" w:cs="宋体"/>
          <w:sz w:val="24"/>
          <w:szCs w:val="24"/>
        </w:rPr>
        <w:t>3、投标人须为独立法人资格的金融机构或其分支机构；若为分支机构，则须提供总公司同意并授权分支机构参与本项目的唯一授权书。</w:t>
      </w:r>
    </w:p>
    <w:p w14:paraId="3B3FCBBE">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4、投标人为完成本项目所组建的项目组执业人员无不良记录，无违法犯罪行为（投标人提供加盖单位公章的“中国执行信息公开网”查询截图）；</w:t>
      </w:r>
    </w:p>
    <w:p w14:paraId="362E8C69">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5、投标人无以下不良信用信息记录</w:t>
      </w:r>
    </w:p>
    <w:p w14:paraId="7B56B41E">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（1）被责令停业，暂扣或吊销执照，或吊销资质证书；</w:t>
      </w:r>
    </w:p>
    <w:p w14:paraId="462BF145">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（2）进入清算程序，或被宣告破产，或其他丧失履约能力的情形；</w:t>
      </w:r>
    </w:p>
    <w:p w14:paraId="7CEF3866">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（3）在国家企业信用信息公示系统中被列入严重违法失信企业名单（投标人提供加盖单位公章的“国家企业信用信息公示系统”查询截图）；</w:t>
      </w:r>
    </w:p>
    <w:p w14:paraId="63ADF6E9">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（4）在“信用中国”网站或“中国执行信息公开网”中被列入失信被执行人名单（投标人提供加盖单位公章的“信用中国”网站或“中国执行信息公开网”查询截图）；</w:t>
      </w:r>
    </w:p>
    <w:p w14:paraId="1B351B83">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6、具有履行合同所必须的专业技术能力，并能提供优质的服务。</w:t>
      </w:r>
    </w:p>
    <w:p w14:paraId="5836FA71">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7、具有良好的财务状况和商业信誉；</w:t>
      </w:r>
    </w:p>
    <w:p w14:paraId="53AA13A5">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8、投标人之间存在下列互为关联关系 （国有控股公司除外）的情形之一的，不得同时参加本项目投标：</w:t>
      </w:r>
    </w:p>
    <w:p w14:paraId="48B41F2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8.1法定代表人为同一人的两个及两个以上法人；</w:t>
      </w:r>
    </w:p>
    <w:p w14:paraId="0BD25952">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8.2母公司、直接或间接持股50%及以上的被投资公司；</w:t>
      </w:r>
    </w:p>
    <w:p w14:paraId="52CD5856">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8.3均为同一家母公司直接或间接持股50%及以上的被投资公司；</w:t>
      </w:r>
    </w:p>
    <w:p w14:paraId="0A0493CA">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8.4具有直接管理和被管理关系的母子公司，或同一母公司的子公司；</w:t>
      </w:r>
    </w:p>
    <w:p w14:paraId="2DD7C0C6">
      <w:pPr>
        <w:widowControl w:val="0"/>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9、本项目允许联合体投标。</w:t>
      </w:r>
    </w:p>
    <w:p w14:paraId="5400C161">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10、资格审查方式：资格后审；</w:t>
      </w:r>
    </w:p>
    <w:p w14:paraId="0CCA0013">
      <w:pPr>
        <w:widowControl w:val="0"/>
        <w:spacing w:line="360" w:lineRule="auto"/>
        <w:ind w:firstLine="482" w:firstLineChars="200"/>
        <w:rPr>
          <w:rStyle w:val="13"/>
          <w:rFonts w:hint="eastAsia" w:ascii="宋体" w:hAnsi="宋体" w:eastAsia="宋体" w:cs="宋体"/>
          <w:sz w:val="24"/>
          <w:szCs w:val="24"/>
        </w:rPr>
      </w:pPr>
      <w:r>
        <w:rPr>
          <w:rFonts w:hint="eastAsia" w:ascii="宋体" w:hAnsi="宋体" w:eastAsia="宋体" w:cs="宋体"/>
          <w:b/>
          <w:kern w:val="3"/>
          <w:sz w:val="24"/>
          <w:szCs w:val="24"/>
        </w:rPr>
        <w:t>三、</w:t>
      </w:r>
      <w:r>
        <w:rPr>
          <w:rFonts w:hint="eastAsia" w:ascii="宋体" w:hAnsi="宋体" w:eastAsia="宋体" w:cs="宋体"/>
          <w:b/>
          <w:sz w:val="24"/>
          <w:szCs w:val="24"/>
        </w:rPr>
        <w:t>获取文件</w:t>
      </w:r>
      <w:r>
        <w:rPr>
          <w:rStyle w:val="13"/>
          <w:rFonts w:hint="eastAsia" w:ascii="宋体" w:hAnsi="宋体" w:eastAsia="宋体" w:cs="宋体"/>
          <w:b/>
          <w:sz w:val="24"/>
          <w:szCs w:val="24"/>
        </w:rPr>
        <w:t>的时间、地点和方式</w:t>
      </w:r>
    </w:p>
    <w:p w14:paraId="76C5BF7C">
      <w:pPr>
        <w:widowControl w:val="0"/>
        <w:spacing w:line="360" w:lineRule="auto"/>
        <w:ind w:firstLine="480" w:firstLineChars="200"/>
        <w:rPr>
          <w:rStyle w:val="13"/>
          <w:rFonts w:hint="eastAsia" w:ascii="宋体" w:hAnsi="宋体" w:eastAsia="宋体" w:cs="宋体"/>
          <w:sz w:val="24"/>
          <w:szCs w:val="24"/>
        </w:rPr>
      </w:pPr>
      <w:r>
        <w:rPr>
          <w:rStyle w:val="13"/>
          <w:rFonts w:hint="eastAsia" w:ascii="宋体" w:hAnsi="宋体" w:eastAsia="宋体" w:cs="宋体"/>
          <w:sz w:val="24"/>
          <w:szCs w:val="24"/>
        </w:rPr>
        <w:t>1、获取招标文件时间：2024年10月23日—2024年10月29日（上午9:00-12:00，下午14:00-17:30，节假日除外）</w:t>
      </w:r>
    </w:p>
    <w:p w14:paraId="0150BA1D">
      <w:pPr>
        <w:widowControl w:val="0"/>
        <w:spacing w:line="360" w:lineRule="auto"/>
        <w:ind w:firstLine="480" w:firstLineChars="200"/>
        <w:rPr>
          <w:rStyle w:val="13"/>
          <w:rFonts w:hint="eastAsia" w:ascii="宋体" w:hAnsi="宋体" w:eastAsia="宋体" w:cs="宋体"/>
          <w:sz w:val="24"/>
          <w:szCs w:val="24"/>
        </w:rPr>
      </w:pPr>
      <w:r>
        <w:rPr>
          <w:rStyle w:val="13"/>
          <w:rFonts w:hint="eastAsia" w:ascii="宋体" w:hAnsi="宋体" w:eastAsia="宋体" w:cs="宋体"/>
          <w:sz w:val="24"/>
          <w:szCs w:val="24"/>
        </w:rPr>
        <w:t>2、招标文件获取方式：有意参与本项目的投标人(联合体参与投标的投标人，应提供联合体协议书）请携带营业执照、</w:t>
      </w:r>
      <w:r>
        <w:rPr>
          <w:rFonts w:hint="eastAsia" w:ascii="宋体" w:hAnsi="宋体" w:eastAsia="宋体" w:cs="宋体"/>
          <w:sz w:val="24"/>
          <w:szCs w:val="24"/>
        </w:rPr>
        <w:t>中国证券监督管理委员会依法颁发的经营证券业务许可证</w:t>
      </w:r>
      <w:r>
        <w:rPr>
          <w:rStyle w:val="13"/>
          <w:rFonts w:hint="eastAsia" w:ascii="宋体" w:hAnsi="宋体" w:eastAsia="宋体" w:cs="宋体"/>
          <w:sz w:val="24"/>
          <w:szCs w:val="24"/>
        </w:rPr>
        <w:t>（投标人</w:t>
      </w:r>
      <w:r>
        <w:rPr>
          <w:rFonts w:hint="eastAsia" w:ascii="宋体" w:hAnsi="宋体" w:eastAsia="宋体" w:cs="宋体"/>
          <w:sz w:val="24"/>
          <w:szCs w:val="24"/>
        </w:rPr>
        <w:t>为分支机构的，须提供总公司同意并授权分支机构参与本项目的唯一授权书</w:t>
      </w:r>
      <w:r>
        <w:rPr>
          <w:rStyle w:val="13"/>
          <w:rFonts w:hint="eastAsia" w:ascii="宋体" w:hAnsi="宋体" w:eastAsia="宋体" w:cs="宋体"/>
          <w:sz w:val="24"/>
          <w:szCs w:val="24"/>
        </w:rPr>
        <w:t>）、法人授权委托书及授权委托人身份证（或法人身份证），以上材料提供加盖单位公章的复印件一套到山东东方监理咨询有限公司（</w:t>
      </w:r>
      <w:r>
        <w:rPr>
          <w:rFonts w:hint="eastAsia" w:ascii="宋体" w:hAnsi="宋体" w:eastAsia="宋体" w:cs="宋体"/>
          <w:kern w:val="0"/>
          <w:sz w:val="24"/>
          <w:szCs w:val="24"/>
        </w:rPr>
        <w:t>济宁市太白湖区文化产业园B座7楼713室</w:t>
      </w:r>
      <w:r>
        <w:rPr>
          <w:rStyle w:val="13"/>
          <w:rFonts w:hint="eastAsia" w:ascii="宋体" w:hAnsi="宋体" w:eastAsia="宋体" w:cs="宋体"/>
          <w:sz w:val="24"/>
          <w:szCs w:val="24"/>
        </w:rPr>
        <w:t>）获取招标文件或将以上材料加盖公章的电子扫描件发送至邮箱</w:t>
      </w:r>
      <w:r>
        <w:rPr>
          <w:rFonts w:hint="eastAsia" w:ascii="宋体" w:hAnsi="宋体" w:eastAsia="宋体" w:cs="宋体"/>
          <w:kern w:val="0"/>
          <w:sz w:val="24"/>
          <w:szCs w:val="24"/>
        </w:rPr>
        <w:t>sddfzbdl@126.com</w:t>
      </w:r>
      <w:r>
        <w:rPr>
          <w:rStyle w:val="13"/>
          <w:rFonts w:hint="eastAsia" w:ascii="宋体" w:hAnsi="宋体" w:eastAsia="宋体" w:cs="宋体"/>
          <w:sz w:val="24"/>
          <w:szCs w:val="24"/>
        </w:rPr>
        <w:t>，邮箱主题需写明公司名称及联系方式，并与代理机构联系确认获取招标文件，过期不予受理。不接受电子签章。</w:t>
      </w:r>
    </w:p>
    <w:p w14:paraId="435EE93F">
      <w:pPr>
        <w:widowControl w:val="0"/>
        <w:spacing w:line="360" w:lineRule="auto"/>
        <w:ind w:firstLine="480" w:firstLineChars="200"/>
        <w:rPr>
          <w:rStyle w:val="13"/>
          <w:rFonts w:hint="eastAsia" w:ascii="宋体" w:hAnsi="宋体" w:eastAsia="宋体" w:cs="宋体"/>
          <w:sz w:val="24"/>
          <w:szCs w:val="24"/>
        </w:rPr>
      </w:pPr>
      <w:r>
        <w:rPr>
          <w:rStyle w:val="13"/>
          <w:rFonts w:hint="eastAsia" w:ascii="宋体" w:hAnsi="宋体" w:eastAsia="宋体" w:cs="宋体"/>
          <w:sz w:val="24"/>
          <w:szCs w:val="24"/>
        </w:rPr>
        <w:t xml:space="preserve">3、文件形式：电子版 </w:t>
      </w:r>
    </w:p>
    <w:p w14:paraId="1CEF1214">
      <w:pPr>
        <w:widowControl w:val="0"/>
        <w:spacing w:line="360" w:lineRule="auto"/>
        <w:rPr>
          <w:rStyle w:val="13"/>
          <w:rFonts w:hint="eastAsia" w:ascii="宋体" w:hAnsi="宋体" w:eastAsia="宋体" w:cs="宋体"/>
          <w:b/>
          <w:sz w:val="24"/>
          <w:szCs w:val="24"/>
        </w:rPr>
      </w:pPr>
      <w:r>
        <w:rPr>
          <w:rStyle w:val="13"/>
          <w:rFonts w:hint="eastAsia" w:ascii="宋体" w:hAnsi="宋体" w:eastAsia="宋体" w:cs="宋体"/>
          <w:b/>
          <w:sz w:val="24"/>
          <w:szCs w:val="24"/>
        </w:rPr>
        <w:t xml:space="preserve">    四、递交纸质响应文件时间及地点</w:t>
      </w:r>
    </w:p>
    <w:p w14:paraId="7A791C2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Style w:val="13"/>
          <w:rFonts w:hint="eastAsia" w:ascii="宋体" w:hAnsi="宋体" w:eastAsia="宋体" w:cs="宋体"/>
          <w:sz w:val="24"/>
          <w:szCs w:val="24"/>
        </w:rPr>
        <w:t>2024年11月13日09时00分前（北京时间）</w:t>
      </w:r>
    </w:p>
    <w:p w14:paraId="4710428F">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kern w:val="0"/>
          <w:sz w:val="24"/>
          <w:szCs w:val="24"/>
        </w:rPr>
        <w:t>济宁市太白湖区文化产业园B座7楼726室</w:t>
      </w:r>
    </w:p>
    <w:p w14:paraId="401F2992">
      <w:pPr>
        <w:widowControl w:val="0"/>
        <w:spacing w:line="360" w:lineRule="auto"/>
        <w:ind w:firstLine="482" w:firstLineChars="200"/>
        <w:rPr>
          <w:rFonts w:hint="eastAsia" w:ascii="宋体" w:hAnsi="宋体" w:eastAsia="宋体" w:cs="宋体"/>
          <w:b/>
          <w:sz w:val="24"/>
          <w:szCs w:val="24"/>
        </w:rPr>
      </w:pPr>
      <w:r>
        <w:rPr>
          <w:rStyle w:val="13"/>
          <w:rFonts w:hint="eastAsia" w:ascii="宋体" w:hAnsi="宋体" w:eastAsia="宋体" w:cs="宋体"/>
          <w:b/>
          <w:sz w:val="24"/>
          <w:szCs w:val="24"/>
        </w:rPr>
        <w:t>五、</w:t>
      </w:r>
      <w:r>
        <w:rPr>
          <w:rFonts w:hint="eastAsia" w:ascii="宋体" w:hAnsi="宋体" w:eastAsia="宋体" w:cs="宋体"/>
          <w:b/>
          <w:sz w:val="24"/>
          <w:szCs w:val="24"/>
        </w:rPr>
        <w:t>开标会议时间及地点</w:t>
      </w:r>
    </w:p>
    <w:p w14:paraId="6353BC61">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Style w:val="13"/>
          <w:rFonts w:hint="eastAsia" w:ascii="宋体" w:hAnsi="宋体" w:eastAsia="宋体" w:cs="宋体"/>
          <w:sz w:val="24"/>
          <w:szCs w:val="24"/>
        </w:rPr>
        <w:t>2024年11月13日09时00分（北京时间）</w:t>
      </w:r>
    </w:p>
    <w:p w14:paraId="60493EDB">
      <w:pPr>
        <w:widowControl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kern w:val="0"/>
          <w:sz w:val="24"/>
          <w:szCs w:val="24"/>
        </w:rPr>
        <w:t>济宁市太白湖区文化产业园B座7楼726室</w:t>
      </w:r>
    </w:p>
    <w:p w14:paraId="2D424117">
      <w:pPr>
        <w:widowControl w:val="0"/>
        <w:spacing w:line="360" w:lineRule="auto"/>
        <w:ind w:firstLine="482" w:firstLineChars="200"/>
        <w:rPr>
          <w:rFonts w:hint="eastAsia" w:ascii="宋体" w:hAnsi="宋体" w:eastAsia="宋体" w:cs="宋体"/>
          <w:sz w:val="24"/>
          <w:szCs w:val="24"/>
        </w:rPr>
      </w:pPr>
      <w:r>
        <w:rPr>
          <w:rStyle w:val="13"/>
          <w:rFonts w:hint="eastAsia" w:ascii="宋体" w:hAnsi="宋体" w:eastAsia="宋体" w:cs="宋体"/>
          <w:b/>
          <w:sz w:val="24"/>
          <w:szCs w:val="24"/>
        </w:rPr>
        <w:t>六、</w:t>
      </w:r>
      <w:r>
        <w:rPr>
          <w:rFonts w:hint="eastAsia" w:ascii="宋体" w:hAnsi="宋体" w:eastAsia="宋体" w:cs="宋体"/>
          <w:b/>
          <w:sz w:val="24"/>
          <w:szCs w:val="24"/>
        </w:rPr>
        <w:t>未尽事宜或须澄清的内容请联系招标人或招标代理机构</w:t>
      </w:r>
    </w:p>
    <w:p w14:paraId="1D29EC23">
      <w:pPr>
        <w:widowControl w:val="0"/>
        <w:spacing w:line="360" w:lineRule="auto"/>
        <w:ind w:firstLine="480" w:firstLineChars="200"/>
        <w:rPr>
          <w:rStyle w:val="13"/>
          <w:rFonts w:hint="eastAsia" w:ascii="宋体" w:hAnsi="宋体" w:eastAsia="宋体" w:cs="宋体"/>
          <w:sz w:val="24"/>
          <w:szCs w:val="24"/>
        </w:rPr>
      </w:pPr>
      <w:r>
        <w:rPr>
          <w:rStyle w:val="13"/>
          <w:rFonts w:hint="eastAsia" w:ascii="宋体" w:hAnsi="宋体" w:eastAsia="宋体" w:cs="宋体"/>
          <w:sz w:val="24"/>
          <w:szCs w:val="24"/>
        </w:rPr>
        <w:t>1、招标人：济宁城投控股集团有限公司</w:t>
      </w:r>
    </w:p>
    <w:p w14:paraId="7CA4842D">
      <w:pPr>
        <w:widowControl w:val="0"/>
        <w:spacing w:line="360" w:lineRule="auto"/>
        <w:ind w:firstLine="480" w:firstLineChars="200"/>
        <w:rPr>
          <w:rStyle w:val="13"/>
          <w:rFonts w:hint="eastAsia" w:ascii="宋体" w:hAnsi="宋体" w:eastAsia="宋体" w:cs="宋体"/>
          <w:sz w:val="24"/>
          <w:szCs w:val="24"/>
        </w:rPr>
      </w:pPr>
      <w:bookmarkStart w:id="0" w:name="_Toc23363"/>
      <w:r>
        <w:rPr>
          <w:rStyle w:val="13"/>
          <w:rFonts w:hint="eastAsia" w:ascii="宋体" w:hAnsi="宋体" w:eastAsia="宋体" w:cs="宋体"/>
          <w:sz w:val="24"/>
          <w:szCs w:val="24"/>
        </w:rPr>
        <w:t>联系人：曹宁              联系电话：15505378728</w:t>
      </w:r>
    </w:p>
    <w:p w14:paraId="7E1FD6B1">
      <w:pPr>
        <w:widowControl w:val="0"/>
        <w:spacing w:line="360" w:lineRule="auto"/>
        <w:ind w:firstLine="480" w:firstLineChars="200"/>
        <w:rPr>
          <w:rStyle w:val="13"/>
          <w:rFonts w:hint="eastAsia" w:ascii="宋体" w:hAnsi="宋体" w:eastAsia="宋体" w:cs="宋体"/>
          <w:sz w:val="24"/>
          <w:szCs w:val="24"/>
        </w:rPr>
      </w:pPr>
      <w:r>
        <w:rPr>
          <w:rStyle w:val="13"/>
          <w:rFonts w:hint="eastAsia" w:ascii="宋体" w:hAnsi="宋体" w:eastAsia="宋体" w:cs="宋体"/>
          <w:sz w:val="24"/>
          <w:szCs w:val="24"/>
        </w:rPr>
        <w:t>2、代理机构：</w:t>
      </w:r>
      <w:bookmarkEnd w:id="0"/>
      <w:r>
        <w:rPr>
          <w:rStyle w:val="13"/>
          <w:rFonts w:hint="eastAsia" w:ascii="宋体" w:hAnsi="宋体" w:eastAsia="宋体" w:cs="宋体"/>
          <w:sz w:val="24"/>
          <w:szCs w:val="24"/>
        </w:rPr>
        <w:t>山东东方监理咨询有限公司</w:t>
      </w:r>
    </w:p>
    <w:p w14:paraId="6E1596DB">
      <w:pPr>
        <w:widowControl w:val="0"/>
        <w:spacing w:line="360" w:lineRule="auto"/>
        <w:ind w:firstLine="480" w:firstLineChars="200"/>
        <w:rPr>
          <w:rStyle w:val="13"/>
          <w:rFonts w:hint="eastAsia" w:ascii="宋体" w:hAnsi="宋体" w:eastAsia="宋体" w:cs="宋体"/>
          <w:sz w:val="24"/>
          <w:szCs w:val="24"/>
        </w:rPr>
      </w:pPr>
      <w:bookmarkStart w:id="1" w:name="_Toc11568"/>
      <w:r>
        <w:rPr>
          <w:rStyle w:val="13"/>
          <w:rFonts w:hint="eastAsia" w:ascii="宋体" w:hAnsi="宋体" w:eastAsia="宋体" w:cs="宋体"/>
          <w:sz w:val="24"/>
          <w:szCs w:val="24"/>
        </w:rPr>
        <w:t>联系地址：</w:t>
      </w:r>
      <w:bookmarkEnd w:id="1"/>
      <w:r>
        <w:rPr>
          <w:rFonts w:hint="eastAsia" w:ascii="宋体" w:hAnsi="宋体" w:eastAsia="宋体" w:cs="宋体"/>
          <w:kern w:val="0"/>
          <w:sz w:val="24"/>
          <w:szCs w:val="24"/>
        </w:rPr>
        <w:t>济宁市太白湖区文化产业园B座7楼713室</w:t>
      </w:r>
    </w:p>
    <w:p w14:paraId="596E9822">
      <w:pPr>
        <w:widowControl w:val="0"/>
        <w:spacing w:line="360" w:lineRule="auto"/>
        <w:ind w:firstLine="480" w:firstLineChars="200"/>
        <w:rPr>
          <w:rStyle w:val="13"/>
          <w:rFonts w:hint="eastAsia" w:ascii="宋体" w:hAnsi="宋体" w:eastAsia="宋体" w:cs="宋体"/>
          <w:sz w:val="24"/>
          <w:szCs w:val="24"/>
        </w:rPr>
      </w:pPr>
      <w:bookmarkStart w:id="2" w:name="_Toc16240"/>
      <w:r>
        <w:rPr>
          <w:rStyle w:val="13"/>
          <w:rFonts w:hint="eastAsia" w:ascii="宋体" w:hAnsi="宋体" w:eastAsia="宋体" w:cs="宋体"/>
          <w:sz w:val="24"/>
          <w:szCs w:val="24"/>
        </w:rPr>
        <w:t>联系人：王凤鸣、段艳彤       联系电话：</w:t>
      </w:r>
      <w:bookmarkEnd w:id="2"/>
      <w:r>
        <w:rPr>
          <w:rFonts w:hint="eastAsia" w:ascii="宋体" w:hAnsi="宋体" w:eastAsia="宋体" w:cs="宋体"/>
          <w:kern w:val="0"/>
          <w:sz w:val="24"/>
          <w:szCs w:val="24"/>
        </w:rPr>
        <w:t>18553792591、18254785261</w:t>
      </w:r>
    </w:p>
    <w:p w14:paraId="1DA02693">
      <w:pPr>
        <w:spacing w:line="360" w:lineRule="auto"/>
        <w:ind w:firstLine="480" w:firstLineChars="200"/>
        <w:rPr>
          <w:rFonts w:hint="eastAsia" w:ascii="宋体" w:hAnsi="宋体" w:eastAsia="宋体" w:cs="宋体"/>
          <w:kern w:val="0"/>
          <w:sz w:val="24"/>
          <w:szCs w:val="24"/>
        </w:rPr>
      </w:pPr>
      <w:r>
        <w:rPr>
          <w:rStyle w:val="13"/>
          <w:rFonts w:hint="eastAsia" w:ascii="宋体" w:hAnsi="宋体" w:eastAsia="宋体" w:cs="宋体"/>
          <w:sz w:val="24"/>
          <w:szCs w:val="24"/>
        </w:rPr>
        <w:t>电子邮箱：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"mailto:sddfzbdl@126.com" </w:instrText>
      </w:r>
      <w:r>
        <w:rPr>
          <w:rFonts w:hint="eastAsia" w:ascii="宋体" w:hAnsi="宋体" w:eastAsia="宋体" w:cs="宋体"/>
          <w:sz w:val="24"/>
          <w:szCs w:val="24"/>
        </w:rPr>
        <w:fldChar w:fldCharType="separate"/>
      </w:r>
      <w:r>
        <w:rPr>
          <w:rStyle w:val="9"/>
          <w:rFonts w:hint="eastAsia" w:ascii="宋体" w:hAnsi="宋体" w:eastAsia="宋体" w:cs="宋体"/>
          <w:kern w:val="0"/>
          <w:sz w:val="24"/>
          <w:szCs w:val="24"/>
        </w:rPr>
        <w:t>sddfzbdl@126.com</w:t>
      </w:r>
      <w:r>
        <w:rPr>
          <w:rStyle w:val="9"/>
          <w:rFonts w:hint="eastAsia" w:ascii="宋体" w:hAnsi="宋体" w:eastAsia="宋体" w:cs="宋体"/>
          <w:kern w:val="0"/>
          <w:sz w:val="24"/>
          <w:szCs w:val="24"/>
        </w:rPr>
        <w:fldChar w:fldCharType="end"/>
      </w:r>
    </w:p>
    <w:p w14:paraId="4304C757">
      <w:pPr>
        <w:spacing w:line="360" w:lineRule="auto"/>
        <w:ind w:firstLine="482" w:firstLineChars="200"/>
        <w:rPr>
          <w:rStyle w:val="13"/>
          <w:rFonts w:hint="eastAsia" w:ascii="宋体" w:hAnsi="宋体" w:eastAsia="宋体" w:cs="宋体"/>
          <w:b/>
          <w:sz w:val="24"/>
          <w:szCs w:val="24"/>
        </w:rPr>
      </w:pPr>
      <w:r>
        <w:rPr>
          <w:rStyle w:val="13"/>
          <w:rFonts w:hint="eastAsia" w:ascii="宋体" w:hAnsi="宋体" w:eastAsia="宋体" w:cs="宋体"/>
          <w:b/>
          <w:sz w:val="24"/>
          <w:szCs w:val="24"/>
        </w:rPr>
        <w:t>七、发布媒体：</w:t>
      </w:r>
    </w:p>
    <w:p w14:paraId="5D74FB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本项目招标公告在济宁城投控股集团官网采购信息公开页（</w:t>
      </w:r>
      <w:r>
        <w:rPr>
          <w:rFonts w:hint="eastAsia" w:ascii="宋体" w:hAnsi="宋体" w:eastAsia="宋体" w:cs="宋体"/>
          <w:b/>
          <w:sz w:val="24"/>
          <w:szCs w:val="24"/>
        </w:rPr>
        <w:t>http：//www.jnsct.cn/information/list_117_120_1.html</w:t>
      </w:r>
      <w:r>
        <w:rPr>
          <w:rFonts w:hint="eastAsia" w:ascii="宋体" w:hAnsi="宋体" w:eastAsia="宋体" w:cs="宋体"/>
          <w:sz w:val="24"/>
          <w:szCs w:val="24"/>
        </w:rPr>
        <w:t>）发布，未尽事宜或须澄清的内容请联系招标人或招标代理机构。</w:t>
      </w:r>
    </w:p>
    <w:p w14:paraId="131C4EC9">
      <w:pPr>
        <w:widowControl w:val="0"/>
        <w:spacing w:line="360" w:lineRule="auto"/>
        <w:ind w:firstLine="482" w:firstLineChars="200"/>
        <w:rPr>
          <w:rFonts w:hint="eastAsia" w:ascii="宋体" w:hAnsi="宋体" w:eastAsia="宋体" w:cs="宋体"/>
          <w:b/>
          <w:bCs/>
          <w:sz w:val="24"/>
          <w:szCs w:val="24"/>
        </w:rPr>
      </w:pPr>
    </w:p>
    <w:p w14:paraId="69A353CA">
      <w:pPr>
        <w:widowControl w:val="0"/>
        <w:spacing w:line="360" w:lineRule="auto"/>
        <w:ind w:firstLine="480" w:firstLineChars="200"/>
        <w:jc w:val="right"/>
        <w:rPr>
          <w:rStyle w:val="13"/>
          <w:rFonts w:hint="eastAsia" w:ascii="宋体" w:hAnsi="宋体" w:eastAsia="宋体" w:cs="宋体"/>
          <w:sz w:val="24"/>
          <w:szCs w:val="24"/>
        </w:rPr>
      </w:pPr>
      <w:r>
        <w:rPr>
          <w:rStyle w:val="13"/>
          <w:rFonts w:hint="eastAsia" w:ascii="宋体" w:hAnsi="宋体" w:eastAsia="宋体" w:cs="宋体"/>
          <w:sz w:val="24"/>
          <w:szCs w:val="24"/>
        </w:rPr>
        <w:t xml:space="preserve"> 2024年10月23日</w:t>
      </w:r>
    </w:p>
    <w:bookmarkEnd w:id="3"/>
    <w:p w14:paraId="14A2CD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SimSun">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62BB3"/>
    <w:multiLevelType w:val="singleLevel"/>
    <w:tmpl w:val="F4B62BB3"/>
    <w:lvl w:ilvl="0" w:tentative="0">
      <w:start w:val="1"/>
      <w:numFmt w:val="chineseCounting"/>
      <w:suff w:val="nothing"/>
      <w:lvlText w:val="%1、"/>
      <w:lvlJc w:val="left"/>
      <w:pPr>
        <w:ind w:left="-37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001D3B1B"/>
    <w:rsid w:val="00020362"/>
    <w:rsid w:val="001D3B1B"/>
    <w:rsid w:val="00601FF3"/>
    <w:rsid w:val="00602F2E"/>
    <w:rsid w:val="00645D65"/>
    <w:rsid w:val="00670F48"/>
    <w:rsid w:val="007C239B"/>
    <w:rsid w:val="009B38B7"/>
    <w:rsid w:val="00C43595"/>
    <w:rsid w:val="00DD02C3"/>
    <w:rsid w:val="00F134B7"/>
    <w:rsid w:val="00F40716"/>
    <w:rsid w:val="2B9D4D48"/>
    <w:rsid w:val="6AEE760E"/>
    <w:rsid w:val="7E0023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2"/>
    <w:qFormat/>
    <w:uiPriority w:val="0"/>
    <w:pPr>
      <w:keepNext/>
      <w:keepLines/>
      <w:spacing w:before="340" w:after="330" w:line="578" w:lineRule="auto"/>
      <w:outlineLvl w:val="0"/>
    </w:pPr>
    <w:rPr>
      <w:rFonts w:ascii="Calibri" w:hAnsi="Calibri"/>
      <w:bCs/>
      <w:kern w:val="44"/>
      <w:sz w:val="28"/>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6"/>
    <w:semiHidden/>
    <w:unhideWhenUsed/>
    <w:qFormat/>
    <w:uiPriority w:val="99"/>
    <w:pPr>
      <w:ind w:firstLine="420" w:firstLineChars="200"/>
    </w:pPr>
  </w:style>
  <w:style w:type="paragraph" w:styleId="3">
    <w:name w:val="Body Text Indent"/>
    <w:basedOn w:val="1"/>
    <w:link w:val="15"/>
    <w:semiHidden/>
    <w:unhideWhenUsed/>
    <w:qFormat/>
    <w:uiPriority w:val="99"/>
    <w:pPr>
      <w:spacing w:after="120"/>
      <w:ind w:left="420" w:leftChars="200"/>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character" w:customStyle="1" w:styleId="12">
    <w:name w:val="标题 1 Char"/>
    <w:basedOn w:val="8"/>
    <w:link w:val="4"/>
    <w:qFormat/>
    <w:uiPriority w:val="0"/>
    <w:rPr>
      <w:rFonts w:ascii="Calibri" w:hAnsi="Calibri" w:eastAsia="宋体" w:cs="Times New Roman"/>
      <w:bCs/>
      <w:kern w:val="44"/>
      <w:sz w:val="28"/>
      <w:szCs w:val="44"/>
    </w:rPr>
  </w:style>
  <w:style w:type="character" w:customStyle="1" w:styleId="13">
    <w:name w:val="NormalCharacter"/>
    <w:semiHidden/>
    <w:qFormat/>
    <w:uiPriority w:val="0"/>
  </w:style>
  <w:style w:type="paragraph" w:customStyle="1" w:styleId="14">
    <w:name w:val="UserStyle_1"/>
    <w:qFormat/>
    <w:uiPriority w:val="0"/>
    <w:pPr>
      <w:suppressAutoHyphens/>
      <w:jc w:val="both"/>
    </w:pPr>
    <w:rPr>
      <w:rFonts w:ascii="Calibri" w:hAnsi="Calibri" w:eastAsia="宋体, SimSun" w:cs="Times New Roman"/>
      <w:kern w:val="3"/>
      <w:sz w:val="21"/>
      <w:szCs w:val="22"/>
      <w:lang w:val="en-US" w:eastAsia="zh-CN" w:bidi="ar-SA"/>
    </w:rPr>
  </w:style>
  <w:style w:type="character" w:customStyle="1" w:styleId="15">
    <w:name w:val="正文文本缩进 Char"/>
    <w:basedOn w:val="8"/>
    <w:link w:val="3"/>
    <w:semiHidden/>
    <w:qFormat/>
    <w:uiPriority w:val="99"/>
    <w:rPr>
      <w:rFonts w:ascii="Times New Roman" w:hAnsi="Times New Roman" w:eastAsia="宋体" w:cs="Times New Roman"/>
      <w:szCs w:val="21"/>
    </w:rPr>
  </w:style>
  <w:style w:type="character" w:customStyle="1" w:styleId="16">
    <w:name w:val="正文首行缩进 2 Char"/>
    <w:basedOn w:val="1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1509</Words>
  <Characters>1707</Characters>
  <Lines>13</Lines>
  <Paragraphs>3</Paragraphs>
  <TotalTime>1</TotalTime>
  <ScaleCrop>false</ScaleCrop>
  <LinksUpToDate>false</LinksUpToDate>
  <CharactersWithSpaces>1788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2024-10-18T06:11:00Z</dcterms:created>
  <dc:creator>eway</dc:creator>
  <cp:lastModifiedBy>木有鱼丸</cp:lastModifiedBy>
  <dcterms:modified xsi:type="dcterms:W3CDTF">2024-10-23T01:19:44Z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576C672BF0DA4AD683D6965E523E8ED4_13</vt:lpwstr>
  </property>
</Properties>
</file>